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12" w:rsidRPr="008B6A12" w:rsidRDefault="008B6A12" w:rsidP="008B6A12">
      <w:pPr>
        <w:tabs>
          <w:tab w:val="left" w:pos="1152"/>
        </w:tabs>
        <w:spacing w:line="240" w:lineRule="exact"/>
        <w:jc w:val="center"/>
        <w:rPr>
          <w:b/>
          <w:sz w:val="28"/>
          <w:szCs w:val="28"/>
        </w:rPr>
      </w:pPr>
      <w:r>
        <w:rPr>
          <w:b/>
          <w:sz w:val="28"/>
          <w:szCs w:val="28"/>
        </w:rPr>
        <w:t>BUXTON PAPERS</w:t>
      </w:r>
      <w:bookmarkStart w:id="0" w:name="_GoBack"/>
      <w:bookmarkEnd w:id="0"/>
    </w:p>
    <w:p w:rsidR="008B6A12" w:rsidRDefault="008B6A12" w:rsidP="008B6A12">
      <w:pPr>
        <w:tabs>
          <w:tab w:val="left" w:pos="1152"/>
        </w:tabs>
        <w:spacing w:line="240" w:lineRule="exact"/>
        <w:rPr>
          <w:b/>
          <w:sz w:val="24"/>
        </w:rPr>
      </w:pPr>
    </w:p>
    <w:p w:rsidR="008B6A12" w:rsidRDefault="008B6A12" w:rsidP="008B6A12">
      <w:pPr>
        <w:tabs>
          <w:tab w:val="left" w:pos="1152"/>
        </w:tabs>
        <w:spacing w:line="240" w:lineRule="exact"/>
        <w:jc w:val="center"/>
        <w:rPr>
          <w:sz w:val="24"/>
        </w:rPr>
      </w:pPr>
      <w:r>
        <w:rPr>
          <w:b/>
          <w:sz w:val="24"/>
        </w:rPr>
        <w:t>Related material in other collections</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rPr>
          <w:sz w:val="24"/>
        </w:rPr>
      </w:pPr>
      <w:r>
        <w:rPr>
          <w:sz w:val="24"/>
        </w:rPr>
        <w:t xml:space="preserve">1. </w:t>
      </w:r>
      <w:r>
        <w:rPr>
          <w:sz w:val="24"/>
          <w:u w:val="single"/>
        </w:rPr>
        <w:t>Cambridge University Library, Department of Manuscripts</w:t>
      </w:r>
    </w:p>
    <w:p w:rsidR="008B6A12" w:rsidRDefault="008B6A12" w:rsidP="008B6A12">
      <w:pPr>
        <w:tabs>
          <w:tab w:val="left" w:pos="1152"/>
        </w:tabs>
        <w:spacing w:line="240" w:lineRule="exact"/>
        <w:rPr>
          <w:sz w:val="24"/>
        </w:rPr>
      </w:pPr>
    </w:p>
    <w:p w:rsidR="008B6A12" w:rsidRDefault="008B6A12" w:rsidP="008B6A12">
      <w:pPr>
        <w:tabs>
          <w:tab w:val="left" w:pos="1152"/>
        </w:tabs>
        <w:spacing w:line="240" w:lineRule="exact"/>
        <w:ind w:left="1152" w:hanging="1152"/>
        <w:jc w:val="both"/>
        <w:rPr>
          <w:sz w:val="24"/>
        </w:rPr>
      </w:pPr>
      <w:r>
        <w:rPr>
          <w:sz w:val="24"/>
        </w:rPr>
        <w:t xml:space="preserve">Add. 3950, </w:t>
      </w:r>
      <w:proofErr w:type="spellStart"/>
      <w:proofErr w:type="gramStart"/>
      <w:r>
        <w:rPr>
          <w:sz w:val="24"/>
        </w:rPr>
        <w:t>fos</w:t>
      </w:r>
      <w:proofErr w:type="spellEnd"/>
      <w:proofErr w:type="gramEnd"/>
      <w:r>
        <w:rPr>
          <w:sz w:val="24"/>
        </w:rPr>
        <w:t xml:space="preserve"> 128-78: Edward </w:t>
      </w:r>
      <w:proofErr w:type="spellStart"/>
      <w:r>
        <w:rPr>
          <w:sz w:val="24"/>
        </w:rPr>
        <w:t>Blore's</w:t>
      </w:r>
      <w:proofErr w:type="spellEnd"/>
      <w:r>
        <w:rPr>
          <w:sz w:val="24"/>
        </w:rPr>
        <w:t xml:space="preserve"> papers re building work at Shadwell Lodge, 1840-3;</w:t>
      </w:r>
    </w:p>
    <w:p w:rsidR="008B6A12" w:rsidRDefault="008B6A12" w:rsidP="008B6A12">
      <w:pPr>
        <w:tabs>
          <w:tab w:val="left" w:pos="1152"/>
        </w:tabs>
        <w:spacing w:line="240" w:lineRule="exact"/>
        <w:ind w:left="1152" w:hanging="1152"/>
        <w:jc w:val="both"/>
        <w:rPr>
          <w:sz w:val="24"/>
        </w:rPr>
      </w:pPr>
      <w:r>
        <w:rPr>
          <w:sz w:val="24"/>
        </w:rPr>
        <w:t xml:space="preserve">Add. 3951, </w:t>
      </w:r>
      <w:proofErr w:type="spellStart"/>
      <w:proofErr w:type="gramStart"/>
      <w:r>
        <w:rPr>
          <w:sz w:val="24"/>
        </w:rPr>
        <w:t>fos</w:t>
      </w:r>
      <w:proofErr w:type="spellEnd"/>
      <w:proofErr w:type="gramEnd"/>
      <w:r>
        <w:rPr>
          <w:sz w:val="24"/>
        </w:rPr>
        <w:t xml:space="preserve"> 5v-6, 17v-19, 35v-36, 91-2, 95v-96, 100v-222, 227v: Edward </w:t>
      </w:r>
      <w:proofErr w:type="spellStart"/>
      <w:r>
        <w:rPr>
          <w:sz w:val="24"/>
        </w:rPr>
        <w:t>Blore's</w:t>
      </w:r>
      <w:proofErr w:type="spellEnd"/>
      <w:r>
        <w:rPr>
          <w:sz w:val="24"/>
        </w:rPr>
        <w:t xml:space="preserve"> papers re building work, among others at Shadwell Lodge, 1841-8;</w:t>
      </w:r>
    </w:p>
    <w:p w:rsidR="008B6A12" w:rsidRDefault="008B6A12" w:rsidP="008B6A12">
      <w:pPr>
        <w:tabs>
          <w:tab w:val="left" w:pos="1152"/>
        </w:tabs>
        <w:spacing w:line="240" w:lineRule="exact"/>
        <w:ind w:left="1152" w:hanging="1152"/>
        <w:jc w:val="both"/>
        <w:rPr>
          <w:sz w:val="24"/>
        </w:rPr>
      </w:pPr>
      <w:r>
        <w:rPr>
          <w:sz w:val="24"/>
        </w:rPr>
        <w:t>Add. 6958/1975: Sir Robert John Buxton to [William Pitt]. Copy of letter of 12 June 1796. Original is Buxton Papers 109/48.</w:t>
      </w:r>
    </w:p>
    <w:p w:rsidR="008B6A12" w:rsidRDefault="008B6A12" w:rsidP="008B6A12">
      <w:pPr>
        <w:tabs>
          <w:tab w:val="left" w:pos="1152"/>
        </w:tabs>
        <w:spacing w:line="240" w:lineRule="exact"/>
        <w:ind w:left="1152" w:hanging="1152"/>
        <w:jc w:val="both"/>
        <w:rPr>
          <w:sz w:val="24"/>
        </w:rPr>
      </w:pPr>
      <w:proofErr w:type="spellStart"/>
      <w:r>
        <w:rPr>
          <w:sz w:val="24"/>
        </w:rPr>
        <w:t>Dd</w:t>
      </w:r>
      <w:proofErr w:type="spellEnd"/>
      <w:r>
        <w:rPr>
          <w:sz w:val="24"/>
        </w:rPr>
        <w:t xml:space="preserve"> 13.8, </w:t>
      </w:r>
      <w:proofErr w:type="spellStart"/>
      <w:proofErr w:type="gramStart"/>
      <w:r>
        <w:rPr>
          <w:sz w:val="24"/>
        </w:rPr>
        <w:t>fos</w:t>
      </w:r>
      <w:proofErr w:type="spellEnd"/>
      <w:proofErr w:type="gramEnd"/>
      <w:r>
        <w:rPr>
          <w:sz w:val="24"/>
        </w:rPr>
        <w:t xml:space="preserve"> 95-112: </w:t>
      </w:r>
      <w:proofErr w:type="spellStart"/>
      <w:r>
        <w:rPr>
          <w:sz w:val="24"/>
        </w:rPr>
        <w:t>compotus</w:t>
      </w:r>
      <w:proofErr w:type="spellEnd"/>
      <w:r>
        <w:rPr>
          <w:sz w:val="24"/>
        </w:rPr>
        <w:t xml:space="preserve"> of Robert Buxton and Nicolas </w:t>
      </w:r>
      <w:proofErr w:type="spellStart"/>
      <w:r>
        <w:rPr>
          <w:sz w:val="24"/>
        </w:rPr>
        <w:t>Darcye</w:t>
      </w:r>
      <w:proofErr w:type="spellEnd"/>
      <w:r>
        <w:rPr>
          <w:sz w:val="24"/>
        </w:rPr>
        <w:t>, general receivers of the lands of Thomas, late Duke of Norfolk, 1579.</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r>
        <w:rPr>
          <w:sz w:val="24"/>
        </w:rPr>
        <w:t xml:space="preserve">2. </w:t>
      </w:r>
      <w:proofErr w:type="spellStart"/>
      <w:r>
        <w:rPr>
          <w:sz w:val="24"/>
          <w:u w:val="single"/>
        </w:rPr>
        <w:t>Gonville</w:t>
      </w:r>
      <w:proofErr w:type="spellEnd"/>
      <w:r>
        <w:rPr>
          <w:sz w:val="24"/>
          <w:u w:val="single"/>
        </w:rPr>
        <w:t xml:space="preserve"> &amp; Caius College, Cambridge</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ind w:left="1152" w:hanging="1152"/>
        <w:jc w:val="both"/>
        <w:rPr>
          <w:sz w:val="24"/>
        </w:rPr>
      </w:pPr>
      <w:r>
        <w:rPr>
          <w:sz w:val="24"/>
        </w:rPr>
        <w:t xml:space="preserve">MS 740/785: Documents relating to Rushford and to Edmund </w:t>
      </w:r>
      <w:proofErr w:type="spellStart"/>
      <w:r>
        <w:rPr>
          <w:sz w:val="24"/>
        </w:rPr>
        <w:t>Gonville's</w:t>
      </w:r>
      <w:proofErr w:type="spellEnd"/>
      <w:r>
        <w:rPr>
          <w:sz w:val="24"/>
        </w:rPr>
        <w:t xml:space="preserve"> foundation there: 15 charters and deeds, 1320-1501, and a long and minute history (154 pp.) of Rushford College from the Conquest to the sixteenth century, compiled by Robert Buxton c. 1570.</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r>
        <w:rPr>
          <w:sz w:val="24"/>
        </w:rPr>
        <w:t xml:space="preserve">3. </w:t>
      </w:r>
      <w:r>
        <w:rPr>
          <w:sz w:val="24"/>
          <w:u w:val="single"/>
        </w:rPr>
        <w:t>Norfolk Record Office, Norwich</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r>
        <w:rPr>
          <w:sz w:val="24"/>
        </w:rPr>
        <w:t xml:space="preserve">The NRO holds a sizeable collection of Buxton papers.  Most of these are letters and papers of Robert Buxton relating to the administration of the late Duke of Norfolk's and the Earl of Arundel's affairs (1570-1603).  There are also an extent roll of the manor of Rushford of 1271, a foundation deed of a chantry in </w:t>
      </w:r>
      <w:proofErr w:type="spellStart"/>
      <w:r>
        <w:rPr>
          <w:sz w:val="24"/>
        </w:rPr>
        <w:t>Eyke</w:t>
      </w:r>
      <w:proofErr w:type="spellEnd"/>
      <w:r>
        <w:rPr>
          <w:sz w:val="24"/>
        </w:rPr>
        <w:t xml:space="preserve"> of 1351, Sir Robert John Buxton's household expenses book for 1791-1811, and a detailed map of the manor of Channons of 1640 by John Harrison, surveyor.  For a complete </w:t>
      </w:r>
      <w:proofErr w:type="gramStart"/>
      <w:r>
        <w:rPr>
          <w:sz w:val="24"/>
        </w:rPr>
        <w:t>listing</w:t>
      </w:r>
      <w:proofErr w:type="gramEnd"/>
      <w:r>
        <w:rPr>
          <w:sz w:val="24"/>
        </w:rPr>
        <w:t xml:space="preserve"> see Buxton Papers, box 133.</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r>
        <w:rPr>
          <w:sz w:val="24"/>
        </w:rPr>
        <w:t xml:space="preserve">4. </w:t>
      </w:r>
      <w:r>
        <w:rPr>
          <w:sz w:val="24"/>
          <w:u w:val="single"/>
        </w:rPr>
        <w:t>Norwich Castle Museum</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r>
        <w:rPr>
          <w:sz w:val="24"/>
        </w:rPr>
        <w:t xml:space="preserve">A collection of 41 portrait paintings deposited by the </w:t>
      </w:r>
      <w:proofErr w:type="spellStart"/>
      <w:r>
        <w:rPr>
          <w:sz w:val="24"/>
        </w:rPr>
        <w:t>Buxtons</w:t>
      </w:r>
      <w:proofErr w:type="spellEnd"/>
      <w:r>
        <w:rPr>
          <w:sz w:val="24"/>
        </w:rPr>
        <w:t xml:space="preserve"> in 1949 and 1963.  For a complete </w:t>
      </w:r>
      <w:proofErr w:type="gramStart"/>
      <w:r>
        <w:rPr>
          <w:sz w:val="24"/>
        </w:rPr>
        <w:t>list</w:t>
      </w:r>
      <w:proofErr w:type="gramEnd"/>
      <w:r>
        <w:rPr>
          <w:sz w:val="24"/>
        </w:rPr>
        <w:t xml:space="preserve"> see Buxton Papers, box 133.</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jc w:val="both"/>
        <w:rPr>
          <w:sz w:val="24"/>
        </w:rPr>
      </w:pPr>
      <w:r>
        <w:rPr>
          <w:sz w:val="24"/>
        </w:rPr>
        <w:t xml:space="preserve">5. </w:t>
      </w:r>
      <w:r>
        <w:rPr>
          <w:sz w:val="24"/>
          <w:u w:val="single"/>
        </w:rPr>
        <w:t>British Library</w:t>
      </w:r>
    </w:p>
    <w:p w:rsidR="008B6A12" w:rsidRDefault="008B6A12" w:rsidP="008B6A12">
      <w:pPr>
        <w:tabs>
          <w:tab w:val="left" w:pos="1152"/>
        </w:tabs>
        <w:spacing w:line="240" w:lineRule="exact"/>
        <w:jc w:val="both"/>
        <w:rPr>
          <w:sz w:val="24"/>
        </w:rPr>
      </w:pPr>
    </w:p>
    <w:p w:rsidR="008B6A12" w:rsidRDefault="008B6A12" w:rsidP="008B6A12">
      <w:pPr>
        <w:tabs>
          <w:tab w:val="left" w:pos="1152"/>
        </w:tabs>
        <w:spacing w:line="240" w:lineRule="exact"/>
        <w:ind w:left="1152" w:hanging="1152"/>
        <w:jc w:val="both"/>
        <w:rPr>
          <w:sz w:val="24"/>
        </w:rPr>
      </w:pPr>
      <w:r>
        <w:rPr>
          <w:sz w:val="24"/>
        </w:rPr>
        <w:t xml:space="preserve">Add. MS 42027, </w:t>
      </w:r>
      <w:proofErr w:type="spellStart"/>
      <w:proofErr w:type="gramStart"/>
      <w:r>
        <w:rPr>
          <w:sz w:val="24"/>
        </w:rPr>
        <w:t>fos</w:t>
      </w:r>
      <w:proofErr w:type="spellEnd"/>
      <w:proofErr w:type="gramEnd"/>
      <w:r>
        <w:rPr>
          <w:sz w:val="24"/>
        </w:rPr>
        <w:t xml:space="preserve"> 86 ff.: Edward </w:t>
      </w:r>
      <w:proofErr w:type="spellStart"/>
      <w:r>
        <w:rPr>
          <w:sz w:val="24"/>
        </w:rPr>
        <w:t>Blore's</w:t>
      </w:r>
      <w:proofErr w:type="spellEnd"/>
      <w:r>
        <w:rPr>
          <w:sz w:val="24"/>
        </w:rPr>
        <w:t xml:space="preserve"> designs for Shadwell House.</w:t>
      </w:r>
    </w:p>
    <w:p w:rsidR="008B6A12" w:rsidRDefault="008B6A12" w:rsidP="008B6A12">
      <w:pPr>
        <w:tabs>
          <w:tab w:val="left" w:pos="1152"/>
        </w:tabs>
        <w:spacing w:line="240" w:lineRule="exact"/>
        <w:rPr>
          <w:sz w:val="24"/>
        </w:rPr>
      </w:pPr>
    </w:p>
    <w:p w:rsidR="008B6A12" w:rsidRDefault="008B6A12" w:rsidP="008B6A12">
      <w:pPr>
        <w:tabs>
          <w:tab w:val="left" w:pos="1152"/>
        </w:tabs>
        <w:spacing w:line="240" w:lineRule="exact"/>
        <w:rPr>
          <w:sz w:val="24"/>
        </w:rPr>
      </w:pPr>
    </w:p>
    <w:p w:rsidR="008B6A12" w:rsidRDefault="008B6A12" w:rsidP="008B6A12">
      <w:pPr>
        <w:tabs>
          <w:tab w:val="left" w:pos="1152"/>
        </w:tabs>
        <w:spacing w:line="240" w:lineRule="exact"/>
        <w:rPr>
          <w:sz w:val="24"/>
        </w:rPr>
      </w:pPr>
      <w:r>
        <w:rPr>
          <w:sz w:val="24"/>
        </w:rPr>
        <w:t xml:space="preserve">6. </w:t>
      </w:r>
      <w:r>
        <w:rPr>
          <w:sz w:val="24"/>
          <w:u w:val="single"/>
        </w:rPr>
        <w:t>Wiltshire Record Office, Trowbridge</w:t>
      </w:r>
    </w:p>
    <w:p w:rsidR="008B6A12" w:rsidRDefault="008B6A12" w:rsidP="008B6A12">
      <w:pPr>
        <w:tabs>
          <w:tab w:val="left" w:pos="1152"/>
        </w:tabs>
        <w:spacing w:line="240" w:lineRule="exact"/>
        <w:rPr>
          <w:sz w:val="24"/>
        </w:rPr>
      </w:pPr>
    </w:p>
    <w:p w:rsidR="008B6A12" w:rsidRDefault="008B6A12" w:rsidP="008B6A12">
      <w:pPr>
        <w:tabs>
          <w:tab w:val="left" w:pos="1152"/>
        </w:tabs>
        <w:spacing w:line="240" w:lineRule="exact"/>
        <w:ind w:left="1152" w:hanging="1152"/>
        <w:rPr>
          <w:sz w:val="24"/>
        </w:rPr>
      </w:pPr>
      <w:r>
        <w:rPr>
          <w:sz w:val="24"/>
        </w:rPr>
        <w:t xml:space="preserve">1553/36: Rentals and accounts of the estates of Sir Robert John Buxton in </w:t>
      </w:r>
      <w:proofErr w:type="spellStart"/>
      <w:r>
        <w:rPr>
          <w:sz w:val="24"/>
        </w:rPr>
        <w:t>Tockenham</w:t>
      </w:r>
      <w:proofErr w:type="spellEnd"/>
      <w:r>
        <w:rPr>
          <w:sz w:val="24"/>
        </w:rPr>
        <w:t xml:space="preserve">, Wootton Bassett, Lea, </w:t>
      </w:r>
      <w:proofErr w:type="spellStart"/>
      <w:r>
        <w:rPr>
          <w:sz w:val="24"/>
        </w:rPr>
        <w:t>Hullavington</w:t>
      </w:r>
      <w:proofErr w:type="spellEnd"/>
      <w:r>
        <w:rPr>
          <w:sz w:val="24"/>
        </w:rPr>
        <w:t xml:space="preserve">, </w:t>
      </w:r>
      <w:proofErr w:type="spellStart"/>
      <w:r>
        <w:rPr>
          <w:sz w:val="24"/>
        </w:rPr>
        <w:t>Clapcott</w:t>
      </w:r>
      <w:proofErr w:type="spellEnd"/>
      <w:r>
        <w:rPr>
          <w:sz w:val="24"/>
        </w:rPr>
        <w:t xml:space="preserve"> in </w:t>
      </w:r>
      <w:proofErr w:type="spellStart"/>
      <w:r>
        <w:rPr>
          <w:sz w:val="24"/>
        </w:rPr>
        <w:t>Grittleton</w:t>
      </w:r>
      <w:proofErr w:type="spellEnd"/>
      <w:r>
        <w:rPr>
          <w:sz w:val="24"/>
        </w:rPr>
        <w:t xml:space="preserve">, Norton, and </w:t>
      </w:r>
      <w:proofErr w:type="spellStart"/>
      <w:r>
        <w:rPr>
          <w:sz w:val="24"/>
        </w:rPr>
        <w:t>Fowleswick</w:t>
      </w:r>
      <w:proofErr w:type="spellEnd"/>
      <w:r>
        <w:rPr>
          <w:sz w:val="24"/>
        </w:rPr>
        <w:t>, 1797-1829.</w:t>
      </w:r>
    </w:p>
    <w:p w:rsidR="00952269" w:rsidRDefault="008B6A12" w:rsidP="008B6A12"/>
    <w:sectPr w:rsidR="00952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12"/>
    <w:rsid w:val="0023210C"/>
    <w:rsid w:val="008B6A12"/>
    <w:rsid w:val="00E3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B109"/>
  <w15:chartTrackingRefBased/>
  <w15:docId w15:val="{0907056F-1BC2-4D9E-9B19-9519AAE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1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Company>Cambridge University Library</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Bowles</dc:creator>
  <cp:keywords/>
  <dc:description/>
  <cp:lastModifiedBy>Frank Bowles</cp:lastModifiedBy>
  <cp:revision>1</cp:revision>
  <dcterms:created xsi:type="dcterms:W3CDTF">2018-10-17T16:01:00Z</dcterms:created>
  <dcterms:modified xsi:type="dcterms:W3CDTF">2018-10-17T16:02:00Z</dcterms:modified>
</cp:coreProperties>
</file>